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A2F3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DSM 5 TR</w:t>
      </w:r>
    </w:p>
    <w:p w14:paraId="0F7A19C6" w14:textId="77777777" w:rsidR="00000000" w:rsidRPr="00341E72" w:rsidRDefault="00000000">
      <w:pPr>
        <w:pStyle w:val="Titolo2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Francesco Rovetto</w:t>
      </w:r>
    </w:p>
    <w:p w14:paraId="5A3B7E12" w14:textId="77777777" w:rsidR="00000000" w:rsidRPr="00341E72" w:rsidRDefault="00000000">
      <w:pPr>
        <w:pStyle w:val="Titolo2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SFU Milano</w:t>
      </w:r>
    </w:p>
    <w:p w14:paraId="37605AC5" w14:textId="77777777" w:rsidR="00000000" w:rsidRPr="00341E72" w:rsidRDefault="00000000">
      <w:pPr>
        <w:pStyle w:val="Titolo2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  <w:u w:val="single"/>
        </w:rPr>
        <w:t>francesco@rovetto.net</w:t>
      </w:r>
      <w:r w:rsidRPr="00341E72">
        <w:rPr>
          <w:color w:val="auto"/>
          <w:sz w:val="24"/>
          <w:szCs w:val="24"/>
        </w:rPr>
        <w:t xml:space="preserve"> 3356058145</w:t>
      </w:r>
    </w:p>
    <w:p w14:paraId="0687166E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DSM-5-TR differenze rispetto </w:t>
      </w:r>
      <w:r w:rsidRPr="00341E72">
        <w:rPr>
          <w:color w:val="auto"/>
          <w:sz w:val="24"/>
          <w:szCs w:val="24"/>
        </w:rPr>
        <w:br/>
        <w:t>DSM-5 e DSM-IV TR</w:t>
      </w:r>
      <w:r w:rsidRPr="00341E72">
        <w:rPr>
          <w:color w:val="auto"/>
          <w:sz w:val="24"/>
          <w:szCs w:val="24"/>
        </w:rPr>
        <w:br/>
        <w:t xml:space="preserve"> </w:t>
      </w:r>
    </w:p>
    <w:p w14:paraId="07742BCB" w14:textId="77777777" w:rsidR="00000000" w:rsidRPr="00341E72" w:rsidRDefault="00000000">
      <w:pPr>
        <w:pStyle w:val="Titolo2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</w:t>
      </w:r>
    </w:p>
    <w:p w14:paraId="0EC0B635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21AD038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Francesco Rovetto</w:t>
      </w:r>
    </w:p>
    <w:p w14:paraId="29B2BA54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</w:t>
      </w:r>
    </w:p>
    <w:p w14:paraId="48A2F504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  <w:u w:val="single"/>
        </w:rPr>
        <w:t>francesco@rovetto.it</w:t>
      </w:r>
    </w:p>
    <w:p w14:paraId="2E9E85C0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3356058145</w:t>
      </w:r>
    </w:p>
    <w:p w14:paraId="127DF4CA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www.rovetto.it</w:t>
      </w:r>
    </w:p>
    <w:p w14:paraId="05249B4A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DSM-5-TR</w:t>
      </w:r>
      <w:r w:rsidRPr="00341E72">
        <w:rPr>
          <w:color w:val="auto"/>
          <w:sz w:val="24"/>
          <w:szCs w:val="24"/>
        </w:rPr>
        <w:br/>
        <w:t xml:space="preserve">marzo 2022 ed </w:t>
      </w:r>
      <w:proofErr w:type="spellStart"/>
      <w:r w:rsidRPr="00341E72">
        <w:rPr>
          <w:color w:val="auto"/>
          <w:sz w:val="24"/>
          <w:szCs w:val="24"/>
        </w:rPr>
        <w:t>Ital</w:t>
      </w:r>
      <w:proofErr w:type="spellEnd"/>
      <w:r w:rsidRPr="00341E72">
        <w:rPr>
          <w:color w:val="auto"/>
          <w:sz w:val="24"/>
          <w:szCs w:val="24"/>
        </w:rPr>
        <w:t xml:space="preserve"> Raffaello Cortina 23</w:t>
      </w:r>
    </w:p>
    <w:p w14:paraId="6866184F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DSM-5 (non DSM-V)</w:t>
      </w:r>
    </w:p>
    <w:p w14:paraId="2FBF71E8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</w:t>
      </w:r>
    </w:p>
    <w:p w14:paraId="5E8197A3" w14:textId="77777777" w:rsidR="00000000" w:rsidRPr="00341E72" w:rsidRDefault="00000000" w:rsidP="00341E72">
      <w:pPr>
        <w:pStyle w:val="Titolo2"/>
        <w:numPr>
          <w:ilvl w:val="0"/>
          <w:numId w:val="2"/>
        </w:numPr>
        <w:ind w:left="540" w:hanging="540"/>
        <w:rPr>
          <w:color w:val="auto"/>
          <w:sz w:val="24"/>
          <w:szCs w:val="24"/>
        </w:rPr>
      </w:pPr>
      <w:proofErr w:type="gramStart"/>
      <w:r w:rsidRPr="00341E72">
        <w:rPr>
          <w:color w:val="auto"/>
          <w:sz w:val="24"/>
          <w:szCs w:val="24"/>
        </w:rPr>
        <w:t>Innanzitutto</w:t>
      </w:r>
      <w:proofErr w:type="gramEnd"/>
      <w:r w:rsidRPr="00341E72">
        <w:rPr>
          <w:color w:val="auto"/>
          <w:sz w:val="24"/>
          <w:szCs w:val="24"/>
        </w:rPr>
        <w:t xml:space="preserve"> una piccola notazione: contrariamente ai precedenti DSM che venivano contrassegnati con numeri romani (es DSM-IV). Il nuovo volume, si chiama DSM-5 (numero arabo). Ovvero DSM cinque TR (per la nuova edizione)</w:t>
      </w:r>
    </w:p>
    <w:p w14:paraId="2CA3378F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0C973FA5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Ogni nuova edizione (es da DSMIV a DSM5) costituisce una rivoluzione rispetto alla precedente.</w:t>
      </w:r>
    </w:p>
    <w:p w14:paraId="2171567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Le versioni TR sono rivisitazioni e non una rifondazione, si tratta di un passaggio verso il DSM6</w:t>
      </w:r>
    </w:p>
    <w:p w14:paraId="140FC01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B483108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La attenzione particolare in questa revisione è stata dedicata non solo alla malattia mentale, ma anche a tutto ciò che circonda l’aspetto patologico, quindi una maggiore attenzione dedicata all’ambiente, alla epidemiologia, ai cambiamenti culturali.</w:t>
      </w:r>
    </w:p>
    <w:p w14:paraId="5B8DC61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Il concetto di razza è stato definito come costrutto culturale e non già biologico (aboliti termini come </w:t>
      </w:r>
      <w:proofErr w:type="spellStart"/>
      <w:r w:rsidRPr="00341E72">
        <w:rPr>
          <w:color w:val="auto"/>
          <w:sz w:val="24"/>
          <w:szCs w:val="24"/>
        </w:rPr>
        <w:t>caucasian</w:t>
      </w:r>
      <w:proofErr w:type="spellEnd"/>
      <w:r w:rsidRPr="00341E72">
        <w:rPr>
          <w:color w:val="auto"/>
          <w:sz w:val="24"/>
          <w:szCs w:val="24"/>
        </w:rPr>
        <w:t>, non white e rivisto il testo in vista di una maggiore uguaglianza di genere</w:t>
      </w:r>
    </w:p>
    <w:p w14:paraId="68F627F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4667277C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La definizione di 70 disturbi è stata modificata per chiarezza e per rispondere a nuove evidenze scientifiche</w:t>
      </w:r>
    </w:p>
    <w:p w14:paraId="7E629F34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lastRenderedPageBreak/>
        <w:t>Si tratta di un testo che sta diventando sempre più clinico con aperture al sociale ed al culturale. Il DSM IV era invece maggiormente indirizzato a favorire la ricerca e la uniformità dei criteri diagnostici</w:t>
      </w:r>
    </w:p>
    <w:p w14:paraId="288281F5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1C0556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Tendenza a diagnosi dimensionale (continuum)</w:t>
      </w:r>
    </w:p>
    <w:p w14:paraId="3A99B34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Piuttosto che categoriale (entità separate)</w:t>
      </w:r>
    </w:p>
    <w:p w14:paraId="35806B1D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A99FEB8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Oltre al DSM 5 TR troviamo il </w:t>
      </w:r>
    </w:p>
    <w:p w14:paraId="20CDA1C0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PDM </w:t>
      </w:r>
      <w:proofErr w:type="spellStart"/>
      <w:r w:rsidRPr="00341E72">
        <w:rPr>
          <w:color w:val="auto"/>
          <w:sz w:val="24"/>
          <w:szCs w:val="24"/>
        </w:rPr>
        <w:t>Psychodinamic</w:t>
      </w:r>
      <w:proofErr w:type="spellEnd"/>
      <w:r w:rsidRPr="00341E72">
        <w:rPr>
          <w:color w:val="auto"/>
          <w:sz w:val="24"/>
          <w:szCs w:val="24"/>
        </w:rPr>
        <w:t xml:space="preserve"> </w:t>
      </w:r>
      <w:proofErr w:type="spellStart"/>
      <w:r w:rsidRPr="00341E72">
        <w:rPr>
          <w:color w:val="auto"/>
          <w:sz w:val="24"/>
          <w:szCs w:val="24"/>
        </w:rPr>
        <w:t>Diagnostic</w:t>
      </w:r>
      <w:proofErr w:type="spellEnd"/>
      <w:r w:rsidRPr="00341E72">
        <w:rPr>
          <w:color w:val="auto"/>
          <w:sz w:val="24"/>
          <w:szCs w:val="24"/>
        </w:rPr>
        <w:t xml:space="preserve"> Manual 2</w:t>
      </w:r>
    </w:p>
    <w:p w14:paraId="0BC3127A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E ICD 10 da tempo è in discussione la stesura del ICD 11</w:t>
      </w:r>
    </w:p>
    <w:p w14:paraId="55A88FFC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DSM5TR</w:t>
      </w:r>
    </w:p>
    <w:p w14:paraId="3EA8A331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jc w:val="both"/>
        <w:rPr>
          <w:rFonts w:eastAsia="MS PGothic"/>
          <w:color w:val="auto"/>
          <w:sz w:val="24"/>
          <w:szCs w:val="24"/>
        </w:rPr>
      </w:pPr>
      <w:r w:rsidRPr="00341E72">
        <w:rPr>
          <w:rFonts w:eastAsia="MS PGothic"/>
          <w:color w:val="auto"/>
          <w:sz w:val="24"/>
          <w:szCs w:val="24"/>
        </w:rPr>
        <w:t>Propone una PROSPETTIVA EVOLUTIVA DEI DISTURBI, CON ASPIRAZIONI EZIOLOGICHE</w:t>
      </w:r>
    </w:p>
    <w:p w14:paraId="6689772D" w14:textId="77777777" w:rsidR="00000000" w:rsidRPr="00341E72" w:rsidRDefault="00000000">
      <w:pPr>
        <w:pStyle w:val="Titolo2"/>
        <w:ind w:left="540" w:hanging="540"/>
        <w:jc w:val="both"/>
        <w:rPr>
          <w:rFonts w:eastAsia="MS PGothic"/>
          <w:color w:val="auto"/>
          <w:sz w:val="24"/>
          <w:szCs w:val="24"/>
        </w:rPr>
      </w:pPr>
    </w:p>
    <w:p w14:paraId="42ADD429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jc w:val="both"/>
        <w:rPr>
          <w:rFonts w:eastAsia="MS PGothic"/>
          <w:color w:val="auto"/>
          <w:sz w:val="24"/>
          <w:szCs w:val="24"/>
        </w:rPr>
      </w:pPr>
      <w:r w:rsidRPr="00341E72">
        <w:rPr>
          <w:rFonts w:eastAsia="MS PGothic"/>
          <w:color w:val="auto"/>
          <w:sz w:val="24"/>
          <w:szCs w:val="24"/>
        </w:rPr>
        <w:t>Cerca di SUPERARE I LIMITI DEL MODELLO CLINICO-DESCRITTIVO A FAVORE DI UNO CHE SI APPOGGIA SU VALIDATORI ESTERNI NEUROBIOLOGICI (oggettività diagnostica e prognostica)</w:t>
      </w:r>
    </w:p>
    <w:p w14:paraId="21B1086E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1F9D2E24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6BFFEE2C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Il </w:t>
      </w:r>
      <w:r w:rsidRPr="00341E72">
        <w:rPr>
          <w:b/>
          <w:bCs/>
          <w:color w:val="auto"/>
          <w:sz w:val="24"/>
          <w:szCs w:val="24"/>
        </w:rPr>
        <w:t>DSM-5-TR</w:t>
      </w:r>
      <w:r w:rsidRPr="00341E72">
        <w:rPr>
          <w:color w:val="auto"/>
          <w:sz w:val="24"/>
          <w:szCs w:val="24"/>
        </w:rPr>
        <w:t xml:space="preserve">, rispetto all’edizione precedente, include descrizioni e riferimenti scientifici completamente revisionati, nonché un aggiornamento dei criteri diagnostici e </w:t>
      </w:r>
      <w:proofErr w:type="gramStart"/>
      <w:r w:rsidRPr="00341E72">
        <w:rPr>
          <w:color w:val="auto"/>
          <w:sz w:val="24"/>
          <w:szCs w:val="24"/>
        </w:rPr>
        <w:t>dei  riferimenti</w:t>
      </w:r>
      <w:proofErr w:type="gramEnd"/>
      <w:r w:rsidRPr="00341E72">
        <w:rPr>
          <w:color w:val="auto"/>
          <w:sz w:val="24"/>
          <w:szCs w:val="24"/>
        </w:rPr>
        <w:t xml:space="preserve"> ai codici ICD-10-CM.</w:t>
      </w:r>
    </w:p>
    <w:p w14:paraId="5460F8AE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proofErr w:type="gramStart"/>
      <w:r w:rsidRPr="00341E72">
        <w:rPr>
          <w:color w:val="auto"/>
          <w:sz w:val="24"/>
          <w:szCs w:val="24"/>
        </w:rPr>
        <w:t>Inoltre</w:t>
      </w:r>
      <w:proofErr w:type="gramEnd"/>
      <w:r w:rsidRPr="00341E72">
        <w:rPr>
          <w:color w:val="auto"/>
          <w:sz w:val="24"/>
          <w:szCs w:val="24"/>
        </w:rPr>
        <w:t xml:space="preserve"> presenta un nuovo disturbo, il Disturbo da Lutto Persistente, e anche i codici per il comportamento suicida e autolesionismo non suicidario, utilizzabili dal clinico senza la necessità di porre alcun’altra diagnosi.</w:t>
      </w:r>
    </w:p>
    <w:p w14:paraId="27311E3A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226169F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0E2A1859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b/>
          <w:bCs/>
          <w:color w:val="auto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>Quali novità nel DSM-5-TR?</w:t>
      </w:r>
    </w:p>
    <w:p w14:paraId="7FF4C0F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Testo completamente rivisto per ciascun disturbo con sezioni aggiornate su caratteristiche associate, prevalenza, sviluppo e decorso, fattori di rischio e prognostici, cultura, marcatori diagnostici, </w:t>
      </w:r>
      <w:r w:rsidRPr="00341E72">
        <w:rPr>
          <w:color w:val="auto"/>
          <w:sz w:val="24"/>
          <w:szCs w:val="24"/>
          <w:u w:val="single"/>
        </w:rPr>
        <w:t>suicidio</w:t>
      </w:r>
      <w:r w:rsidRPr="00341E72">
        <w:rPr>
          <w:color w:val="auto"/>
          <w:sz w:val="24"/>
          <w:szCs w:val="24"/>
        </w:rPr>
        <w:t>, diagnosi differenziale e altro ancora.</w:t>
      </w:r>
    </w:p>
    <w:p w14:paraId="6B9C554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lastRenderedPageBreak/>
        <w:t>Aggiunta del disturbo da Lutto Persistente alla Sezione II.</w:t>
      </w:r>
    </w:p>
    <w:p w14:paraId="6780FEA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Oltre 70 set di criteri modificati con utili chiarimenti dalla pubblicazione del DSM-5</w:t>
      </w:r>
    </w:p>
    <w:p w14:paraId="5AB72A5B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3FE0DA66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0273FC4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Introduzione e utilizzo del manuale completamente aggiornati per guidare l’utente nell’utilizzo e per fornire una terminologia comune.</w:t>
      </w:r>
    </w:p>
    <w:p w14:paraId="6CC60B55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Considerazioni sull’impatto del razzismo e delle discriminazioni sui disturbi mentali.</w:t>
      </w:r>
    </w:p>
    <w:p w14:paraId="04ADA08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13F372F8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7D8E6277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Nuovi codici per segnalare e monitorare il comportamento suicidario e autolesionismo non suicidario, a disposizione di tutti i medici di qualsiasi disciplina e senza la necessità di alcun’altra diagnosi. Questi criteri dopo lungo dibattito sono rientrati tra i criteri che meritano ulteriore approfondimento in quanto potenzialmente stigmatizzanti</w:t>
      </w:r>
    </w:p>
    <w:p w14:paraId="5A646F48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5A0E0754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Ripristinato il ‘Disturbo dell’umore non specificato’ per presentazioni di umore misto che non soddisfano i criteri per un disturbo bipolare o depressivo.</w:t>
      </w:r>
    </w:p>
    <w:p w14:paraId="673C0A1D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055CEA4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589392C8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Aggiornamenti significativi alla terminologia utilizzata per descrivere la </w:t>
      </w:r>
      <w:r w:rsidRPr="00341E72">
        <w:rPr>
          <w:color w:val="auto"/>
          <w:sz w:val="24"/>
          <w:szCs w:val="24"/>
          <w:u w:val="single"/>
        </w:rPr>
        <w:t>disforia di genere</w:t>
      </w:r>
      <w:r w:rsidRPr="00341E72">
        <w:rPr>
          <w:color w:val="auto"/>
          <w:sz w:val="24"/>
          <w:szCs w:val="24"/>
        </w:rPr>
        <w:t xml:space="preserve">. Il termine ‘genere desiderato’ è ora sostituito da ‘genere esperito’, il termine ‘procedura medica per il cambio di </w:t>
      </w:r>
      <w:proofErr w:type="spellStart"/>
      <w:r w:rsidRPr="00341E72">
        <w:rPr>
          <w:color w:val="auto"/>
          <w:sz w:val="24"/>
          <w:szCs w:val="24"/>
        </w:rPr>
        <w:t>sesso’</w:t>
      </w:r>
      <w:proofErr w:type="spellEnd"/>
      <w:r w:rsidRPr="00341E72">
        <w:rPr>
          <w:color w:val="auto"/>
          <w:sz w:val="24"/>
          <w:szCs w:val="24"/>
        </w:rPr>
        <w:t xml:space="preserve"> è ora ‘procedura medica di affermazione del genere’ e il termine ‘maschio alla </w:t>
      </w:r>
      <w:proofErr w:type="spellStart"/>
      <w:r w:rsidRPr="00341E72">
        <w:rPr>
          <w:color w:val="auto"/>
          <w:sz w:val="24"/>
          <w:szCs w:val="24"/>
        </w:rPr>
        <w:t>nascita’</w:t>
      </w:r>
      <w:proofErr w:type="spellEnd"/>
      <w:r w:rsidRPr="00341E72">
        <w:rPr>
          <w:color w:val="auto"/>
          <w:sz w:val="24"/>
          <w:szCs w:val="24"/>
        </w:rPr>
        <w:t xml:space="preserve">/’femmina alla </w:t>
      </w:r>
      <w:proofErr w:type="spellStart"/>
      <w:r w:rsidRPr="00341E72">
        <w:rPr>
          <w:color w:val="auto"/>
          <w:sz w:val="24"/>
          <w:szCs w:val="24"/>
        </w:rPr>
        <w:t>nascita’</w:t>
      </w:r>
      <w:proofErr w:type="spellEnd"/>
      <w:r w:rsidRPr="00341E72">
        <w:rPr>
          <w:color w:val="auto"/>
          <w:sz w:val="24"/>
          <w:szCs w:val="24"/>
        </w:rPr>
        <w:t xml:space="preserve"> è ora ‘maschio assegnato all’individuo /femmina alla </w:t>
      </w:r>
      <w:proofErr w:type="spellStart"/>
      <w:r w:rsidRPr="00341E72">
        <w:rPr>
          <w:color w:val="auto"/>
          <w:sz w:val="24"/>
          <w:szCs w:val="24"/>
        </w:rPr>
        <w:t>nascita’</w:t>
      </w:r>
      <w:proofErr w:type="spellEnd"/>
      <w:r w:rsidRPr="00341E72">
        <w:rPr>
          <w:color w:val="auto"/>
          <w:sz w:val="24"/>
          <w:szCs w:val="24"/>
        </w:rPr>
        <w:t>.</w:t>
      </w:r>
    </w:p>
    <w:p w14:paraId="3072F45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4513DCAF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2605F8D2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b/>
          <w:bCs/>
          <w:color w:val="auto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>Disturbo da Lutto Persistente nel DSM-5-TR</w:t>
      </w:r>
    </w:p>
    <w:p w14:paraId="4E27628F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Il disturbo da Lutto Persistente o </w:t>
      </w:r>
      <w:proofErr w:type="spellStart"/>
      <w:r w:rsidRPr="00341E72">
        <w:rPr>
          <w:color w:val="auto"/>
          <w:sz w:val="24"/>
          <w:szCs w:val="24"/>
        </w:rPr>
        <w:t>Prolonged</w:t>
      </w:r>
      <w:proofErr w:type="spellEnd"/>
      <w:r w:rsidRPr="00341E72">
        <w:rPr>
          <w:color w:val="auto"/>
          <w:sz w:val="24"/>
          <w:szCs w:val="24"/>
        </w:rPr>
        <w:t xml:space="preserve"> </w:t>
      </w:r>
      <w:proofErr w:type="spellStart"/>
      <w:r w:rsidRPr="00341E72">
        <w:rPr>
          <w:color w:val="auto"/>
          <w:sz w:val="24"/>
          <w:szCs w:val="24"/>
        </w:rPr>
        <w:t>Grief</w:t>
      </w:r>
      <w:proofErr w:type="spellEnd"/>
      <w:r w:rsidRPr="00341E72">
        <w:rPr>
          <w:color w:val="auto"/>
          <w:sz w:val="24"/>
          <w:szCs w:val="24"/>
        </w:rPr>
        <w:t xml:space="preserve"> Disorder (PGD) è il risultato di anni di ricerca ed esperienza clinica che indicano che alcune persone sperimentano un’incapacità pervasiva a superare il </w:t>
      </w:r>
      <w:r w:rsidRPr="00341E72">
        <w:rPr>
          <w:color w:val="auto"/>
          <w:sz w:val="24"/>
          <w:szCs w:val="24"/>
          <w:u w:val="single"/>
        </w:rPr>
        <w:t>lutto</w:t>
      </w:r>
      <w:r w:rsidRPr="00341E72">
        <w:rPr>
          <w:color w:val="auto"/>
          <w:sz w:val="24"/>
          <w:szCs w:val="24"/>
        </w:rPr>
        <w:t xml:space="preserve"> per la perdita di una persona cara e tali sintomi sono così gravi da influenzare il funzionamento quotidiano dell’individuo. </w:t>
      </w:r>
    </w:p>
    <w:p w14:paraId="57FCF2B9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DF876D4" w14:textId="77777777" w:rsidR="00000000" w:rsidRPr="00341E72" w:rsidRDefault="00000000" w:rsidP="00341E72">
      <w:pPr>
        <w:pStyle w:val="Titolo2"/>
        <w:numPr>
          <w:ilvl w:val="0"/>
          <w:numId w:val="3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Il DSM-5 ha proposto la diagnosi di </w:t>
      </w:r>
      <w:r w:rsidRPr="00341E72">
        <w:rPr>
          <w:b/>
          <w:bCs/>
          <w:color w:val="auto"/>
          <w:sz w:val="24"/>
          <w:szCs w:val="24"/>
        </w:rPr>
        <w:t>disturbo da lutto persistente e complicato</w:t>
      </w:r>
      <w:r w:rsidRPr="00341E72">
        <w:rPr>
          <w:color w:val="auto"/>
          <w:sz w:val="24"/>
          <w:szCs w:val="24"/>
        </w:rPr>
        <w:t> per indicare proprio quelle condizioni in cui le manifestazioni acute del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, con vissuti a stampo negativo, di tristezza, colpa, invidia, rabbia, associati a persistenti ruminazioni relative alle cause, circostanze e conseguenze della perdita, permangono se sono trascorsi almeno 12 mesi dalla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 di qualcuno con cui l’individuo in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 xml:space="preserve"> aveva una relazione stretta, considerando </w:t>
      </w:r>
      <w:r w:rsidRPr="00341E72">
        <w:rPr>
          <w:color w:val="auto"/>
          <w:sz w:val="24"/>
          <w:szCs w:val="24"/>
        </w:rPr>
        <w:lastRenderedPageBreak/>
        <w:t>questo lasso di tempo come discriminante tra</w:t>
      </w:r>
      <w:r w:rsidRPr="00341E72">
        <w:rPr>
          <w:b/>
          <w:bCs/>
          <w:color w:val="auto"/>
          <w:sz w:val="24"/>
          <w:szCs w:val="24"/>
        </w:rPr>
        <w:t> lutto normale e patologico</w:t>
      </w:r>
      <w:r w:rsidRPr="00341E72">
        <w:rPr>
          <w:color w:val="auto"/>
          <w:sz w:val="24"/>
          <w:szCs w:val="24"/>
        </w:rPr>
        <w:t>.</w:t>
      </w:r>
    </w:p>
    <w:p w14:paraId="5FF371C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19604260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Disturbo da lutto prolungato sintomi</w:t>
      </w:r>
    </w:p>
    <w:p w14:paraId="1CDF0C02" w14:textId="77777777" w:rsidR="00000000" w:rsidRPr="00341E72" w:rsidRDefault="00000000">
      <w:pPr>
        <w:pStyle w:val="Titolo2"/>
        <w:ind w:left="0" w:firstLine="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</w:t>
      </w:r>
      <w:r w:rsidRPr="00341E72">
        <w:rPr>
          <w:color w:val="auto"/>
          <w:sz w:val="24"/>
          <w:szCs w:val="24"/>
        </w:rPr>
        <w:br/>
        <w:t xml:space="preserve">1. Un persistente desiderio/nostalgia della persona deceduta. Nei bambini piccoli il desiderio può essere espresso nel gioco e nel comportamento con un </w:t>
      </w:r>
      <w:proofErr w:type="gramStart"/>
      <w:r w:rsidRPr="00341E72">
        <w:rPr>
          <w:color w:val="auto"/>
          <w:sz w:val="24"/>
          <w:szCs w:val="24"/>
        </w:rPr>
        <w:t>particolare  rapporto</w:t>
      </w:r>
      <w:proofErr w:type="gramEnd"/>
      <w:r w:rsidRPr="00341E72">
        <w:rPr>
          <w:color w:val="auto"/>
          <w:sz w:val="24"/>
          <w:szCs w:val="24"/>
        </w:rPr>
        <w:t xml:space="preserve"> con un’altra figura oggetto di attaccamento.</w:t>
      </w:r>
      <w:r w:rsidRPr="00341E72">
        <w:rPr>
          <w:color w:val="auto"/>
          <w:sz w:val="24"/>
          <w:szCs w:val="24"/>
        </w:rPr>
        <w:br/>
        <w:t>2. Tristezza e dolore emotivo intenso in seguito alla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</w:t>
      </w:r>
      <w:r w:rsidRPr="00341E72">
        <w:rPr>
          <w:color w:val="auto"/>
          <w:sz w:val="24"/>
          <w:szCs w:val="24"/>
        </w:rPr>
        <w:br/>
        <w:t>3. Preoccupazione per il deceduto.</w:t>
      </w:r>
      <w:r w:rsidRPr="00341E72">
        <w:rPr>
          <w:color w:val="auto"/>
          <w:sz w:val="24"/>
          <w:szCs w:val="24"/>
        </w:rPr>
        <w:br/>
        <w:t>4. Preoccupazione per le circostanze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 Nei bambini, questa preoccupazione per il deceduto può essere espressa attraverso i contenuti del gioco e il comportamento può estendersi fino alla preoccupazione per la possibile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 di altre persone vicine.</w:t>
      </w:r>
      <w:r w:rsidRPr="00341E72">
        <w:rPr>
          <w:color w:val="auto"/>
          <w:sz w:val="24"/>
          <w:szCs w:val="24"/>
        </w:rPr>
        <w:br/>
        <w:t xml:space="preserve"> </w:t>
      </w:r>
    </w:p>
    <w:p w14:paraId="33DC65DE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293CD7E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E32B19A" w14:textId="77777777" w:rsidR="00000000" w:rsidRPr="00341E72" w:rsidRDefault="00000000">
      <w:pPr>
        <w:pStyle w:val="Titolo2"/>
        <w:ind w:left="0" w:firstLine="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br/>
        <w:t>1. Marcata difficoltà nell’accettare 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 Nei bambini questa difficoltà dipende dalla capacità di comprendere il significato e la definitività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 Molto frequente nei bambini il ricorso alla negazione dell’evento (non è vero che è morto è partito e poi torna). Questa reazione è possibile nei primi giorni anche nell’adulto se prolungata diventa altamente patologica</w:t>
      </w:r>
      <w:r w:rsidRPr="00341E72">
        <w:rPr>
          <w:color w:val="auto"/>
          <w:sz w:val="24"/>
          <w:szCs w:val="24"/>
        </w:rPr>
        <w:br/>
      </w:r>
    </w:p>
    <w:p w14:paraId="19D412C6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77E107C0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2. Provare incredulità o torpore emotivo riguardo alla perdita. In questi casi si può negare il proprio dolore come meccanismo di difesa.</w:t>
      </w:r>
      <w:r w:rsidRPr="00341E72">
        <w:rPr>
          <w:color w:val="auto"/>
          <w:sz w:val="24"/>
          <w:szCs w:val="24"/>
        </w:rPr>
        <w:br/>
        <w:t>3. Difficoltà ad abbandonarsi a ricordi positivi che riguardano il deceduto.</w:t>
      </w:r>
      <w:r w:rsidRPr="00341E72">
        <w:rPr>
          <w:color w:val="auto"/>
          <w:sz w:val="24"/>
          <w:szCs w:val="24"/>
        </w:rPr>
        <w:br/>
        <w:t xml:space="preserve">4. Amarezza o rabbia in relazione alla perdita (poteva invece di lui morire quell’altra persona che è uno </w:t>
      </w:r>
      <w:proofErr w:type="spellStart"/>
      <w:r w:rsidRPr="00341E72">
        <w:rPr>
          <w:color w:val="auto"/>
          <w:sz w:val="24"/>
          <w:szCs w:val="24"/>
        </w:rPr>
        <w:t>str</w:t>
      </w:r>
      <w:proofErr w:type="spellEnd"/>
      <w:r w:rsidRPr="00341E72">
        <w:rPr>
          <w:color w:val="auto"/>
          <w:sz w:val="24"/>
          <w:szCs w:val="24"/>
        </w:rPr>
        <w:t>…).</w:t>
      </w:r>
      <w:r w:rsidRPr="00341E72">
        <w:rPr>
          <w:color w:val="auto"/>
          <w:sz w:val="24"/>
          <w:szCs w:val="24"/>
        </w:rPr>
        <w:br/>
      </w:r>
    </w:p>
    <w:p w14:paraId="0EF33814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23BB1D53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5. Valutazione negativa di sé in relazione al deceduto o alla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 xml:space="preserve"> (es. senso di </w:t>
      </w:r>
      <w:proofErr w:type="spellStart"/>
      <w:r w:rsidRPr="00341E72">
        <w:rPr>
          <w:color w:val="auto"/>
          <w:sz w:val="24"/>
          <w:szCs w:val="24"/>
        </w:rPr>
        <w:t>autocolpevolezza</w:t>
      </w:r>
      <w:proofErr w:type="spellEnd"/>
      <w:r w:rsidRPr="00341E72">
        <w:rPr>
          <w:color w:val="auto"/>
          <w:sz w:val="24"/>
          <w:szCs w:val="24"/>
        </w:rPr>
        <w:t>).</w:t>
      </w:r>
      <w:r w:rsidRPr="00341E72">
        <w:rPr>
          <w:color w:val="auto"/>
          <w:sz w:val="24"/>
          <w:szCs w:val="24"/>
        </w:rPr>
        <w:br/>
        <w:t>6. Eccessivo </w:t>
      </w:r>
      <w:r w:rsidRPr="00341E72">
        <w:rPr>
          <w:color w:val="auto"/>
          <w:sz w:val="24"/>
          <w:szCs w:val="24"/>
          <w:u w:val="single"/>
        </w:rPr>
        <w:t>evitamento</w:t>
      </w:r>
      <w:r w:rsidRPr="00341E72">
        <w:rPr>
          <w:color w:val="auto"/>
          <w:sz w:val="24"/>
          <w:szCs w:val="24"/>
        </w:rPr>
        <w:t> di ricordi della perdita (per es. evitamento di persone, luoghi o situazioni associati al deceduto; nei bambini questo può includere l’evitamento di pensieri e sentimenti che riguardano il deceduto.</w:t>
      </w:r>
    </w:p>
    <w:p w14:paraId="5C60CC9F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0896D6F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DC09399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Disordine sociale e dell’identità</w:t>
      </w:r>
      <w:r w:rsidRPr="00341E72">
        <w:rPr>
          <w:color w:val="auto"/>
          <w:sz w:val="24"/>
          <w:szCs w:val="24"/>
        </w:rPr>
        <w:br/>
        <w:t>Desiderio di morire per essere vicini al deceduto.</w:t>
      </w:r>
      <w:r w:rsidRPr="00341E72">
        <w:rPr>
          <w:color w:val="auto"/>
          <w:sz w:val="24"/>
          <w:szCs w:val="24"/>
        </w:rPr>
        <w:br/>
        <w:t>Dal momento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, difficoltà nel provare fiducia verso gli altri.</w:t>
      </w:r>
      <w:r w:rsidRPr="00341E72">
        <w:rPr>
          <w:color w:val="auto"/>
          <w:sz w:val="24"/>
          <w:szCs w:val="24"/>
        </w:rPr>
        <w:br/>
        <w:t>Dal momento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, sensazione di essere soli o distaccati dagli altri.</w:t>
      </w:r>
      <w:r w:rsidRPr="00341E72">
        <w:rPr>
          <w:color w:val="auto"/>
          <w:sz w:val="24"/>
          <w:szCs w:val="24"/>
        </w:rPr>
        <w:br/>
      </w:r>
    </w:p>
    <w:p w14:paraId="7FEB295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7B9D3FB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5AA19B41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lastRenderedPageBreak/>
        <w:t>Sensazione che la vita sia vuota o priva di senso senza il deceduto, o pensiero di non farcela senza il deceduto.</w:t>
      </w:r>
      <w:r w:rsidRPr="00341E72">
        <w:rPr>
          <w:color w:val="auto"/>
          <w:sz w:val="24"/>
          <w:szCs w:val="24"/>
        </w:rPr>
        <w:br/>
        <w:t xml:space="preserve">Confusione circa il proprio ruolo nella vita, o diminuito senso della propria identità (per es. una parte di </w:t>
      </w:r>
      <w:proofErr w:type="gramStart"/>
      <w:r w:rsidRPr="00341E72">
        <w:rPr>
          <w:color w:val="auto"/>
          <w:sz w:val="24"/>
          <w:szCs w:val="24"/>
        </w:rPr>
        <w:t>se</w:t>
      </w:r>
      <w:proofErr w:type="gramEnd"/>
      <w:r w:rsidRPr="00341E72">
        <w:rPr>
          <w:color w:val="auto"/>
          <w:sz w:val="24"/>
          <w:szCs w:val="24"/>
        </w:rPr>
        <w:t xml:space="preserve"> stessi è diminuita insieme al deceduto).</w:t>
      </w:r>
      <w:r w:rsidRPr="00341E72">
        <w:rPr>
          <w:color w:val="auto"/>
          <w:sz w:val="24"/>
          <w:szCs w:val="24"/>
        </w:rPr>
        <w:br/>
        <w:t>Dal momento della perdita, difficoltà o riluttanza nel perseguire i propri interessi o nel fare piani per il futuro (per es. amicizie, attività).</w:t>
      </w:r>
    </w:p>
    <w:p w14:paraId="04CDF5BE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6C59276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D. Il disturbo causa disagio clinicamente significativo o compromissione del funzionamento in ambito sociale, lavorativo o in altre aree importanti</w:t>
      </w:r>
      <w:r w:rsidRPr="00341E72">
        <w:rPr>
          <w:color w:val="auto"/>
          <w:sz w:val="24"/>
          <w:szCs w:val="24"/>
        </w:rPr>
        <w:br/>
        <w:t>E. La reazione di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 è sproporzionata o non coerente con le norme culturali o religiose o appropriate per l’età.</w:t>
      </w:r>
    </w:p>
    <w:p w14:paraId="334A83A6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4CA9454E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4D49E8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Specificare se</w:t>
      </w:r>
      <w:r w:rsidRPr="00341E72">
        <w:rPr>
          <w:b/>
          <w:bCs/>
          <w:color w:val="auto"/>
          <w:sz w:val="24"/>
          <w:szCs w:val="24"/>
        </w:rPr>
        <w:t> lutto traumatico</w:t>
      </w:r>
      <w:r w:rsidRPr="00341E72">
        <w:rPr>
          <w:color w:val="auto"/>
          <w:sz w:val="24"/>
          <w:szCs w:val="24"/>
        </w:rPr>
        <w:t>, ovvero: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 dovuto a omicidio o suicidio con persistenti pensieri gravosi riguardo alla natura traumatica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 (spesso in risposta a ricordi della perdita), tra cui gli ultimi momenti del deceduto, il grado di sofferenza e delle ferite, o la natura dolorosa o intenzionale della</w:t>
      </w:r>
      <w:r w:rsidRPr="00341E72">
        <w:rPr>
          <w:b/>
          <w:bCs/>
          <w:color w:val="auto"/>
          <w:sz w:val="24"/>
          <w:szCs w:val="24"/>
        </w:rPr>
        <w:t> morte</w:t>
      </w:r>
      <w:r w:rsidRPr="00341E72">
        <w:rPr>
          <w:color w:val="auto"/>
          <w:sz w:val="24"/>
          <w:szCs w:val="24"/>
        </w:rPr>
        <w:t>.</w:t>
      </w:r>
    </w:p>
    <w:p w14:paraId="3BD3393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31463949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Diagnosi differenziale: depressione</w:t>
      </w:r>
    </w:p>
    <w:p w14:paraId="6E10849A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 xml:space="preserve"> </w:t>
      </w:r>
      <w:r w:rsidRPr="00341E72">
        <w:rPr>
          <w:color w:val="auto"/>
          <w:sz w:val="24"/>
          <w:szCs w:val="24"/>
        </w:rPr>
        <w:t>Il </w:t>
      </w:r>
      <w:r w:rsidRPr="00341E72">
        <w:rPr>
          <w:b/>
          <w:bCs/>
          <w:color w:val="auto"/>
          <w:sz w:val="24"/>
          <w:szCs w:val="24"/>
        </w:rPr>
        <w:t>disturbo da lutto persistente e complicato</w:t>
      </w:r>
      <w:r w:rsidRPr="00341E72">
        <w:rPr>
          <w:color w:val="auto"/>
          <w:sz w:val="24"/>
          <w:szCs w:val="24"/>
        </w:rPr>
        <w:t xml:space="preserve"> </w:t>
      </w:r>
    </w:p>
    <w:p w14:paraId="0ABBF50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Nonostante la tristezza e i sentimenti di colpa siano caratteristiche centrali della depressione maggiore, nel</w:t>
      </w:r>
      <w:r w:rsidRPr="00341E72">
        <w:rPr>
          <w:b/>
          <w:bCs/>
          <w:color w:val="auto"/>
          <w:sz w:val="24"/>
          <w:szCs w:val="24"/>
        </w:rPr>
        <w:t xml:space="preserve"> lutto </w:t>
      </w:r>
      <w:proofErr w:type="gramStart"/>
      <w:r w:rsidRPr="00341E72">
        <w:rPr>
          <w:b/>
          <w:bCs/>
          <w:color w:val="auto"/>
          <w:sz w:val="24"/>
          <w:szCs w:val="24"/>
        </w:rPr>
        <w:t>complicato</w:t>
      </w:r>
      <w:r w:rsidRPr="00341E72">
        <w:rPr>
          <w:color w:val="auto"/>
          <w:sz w:val="24"/>
          <w:szCs w:val="24"/>
        </w:rPr>
        <w:t xml:space="preserve">,   </w:t>
      </w:r>
      <w:proofErr w:type="gramEnd"/>
      <w:r w:rsidRPr="00341E72">
        <w:rPr>
          <w:color w:val="auto"/>
          <w:sz w:val="24"/>
          <w:szCs w:val="24"/>
        </w:rPr>
        <w:t>vengano esperiti solo in relazione alla figura del defunto; la ruminazione sugli errori e sui fallimenti del passato, anch’essa presente in entrambi i casi, è centrata nel disturbo da</w:t>
      </w:r>
      <w:r w:rsidRPr="00341E72">
        <w:rPr>
          <w:b/>
          <w:bCs/>
          <w:color w:val="auto"/>
          <w:sz w:val="24"/>
          <w:szCs w:val="24"/>
        </w:rPr>
        <w:t> lutto prolungato</w:t>
      </w:r>
      <w:r w:rsidRPr="00341E72">
        <w:rPr>
          <w:color w:val="auto"/>
          <w:sz w:val="24"/>
          <w:szCs w:val="24"/>
        </w:rPr>
        <w:t> solo sulla persona deceduta anziché essere generalizzata.</w:t>
      </w:r>
    </w:p>
    <w:p w14:paraId="67B46C74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0FB18698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PTSD</w:t>
      </w:r>
    </w:p>
    <w:p w14:paraId="288530A3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nel PTSD si tratta di paura e ansia, nel</w:t>
      </w:r>
      <w:r w:rsidRPr="00341E72">
        <w:rPr>
          <w:b/>
          <w:bCs/>
          <w:color w:val="auto"/>
          <w:sz w:val="24"/>
          <w:szCs w:val="24"/>
        </w:rPr>
        <w:t> lutto</w:t>
      </w:r>
      <w:r w:rsidRPr="00341E72">
        <w:rPr>
          <w:color w:val="auto"/>
          <w:sz w:val="24"/>
          <w:szCs w:val="24"/>
        </w:rPr>
        <w:t xml:space="preserve"> di tristezza e nostalgia. </w:t>
      </w:r>
      <w:proofErr w:type="gramStart"/>
      <w:r w:rsidRPr="00341E72">
        <w:rPr>
          <w:color w:val="auto"/>
          <w:sz w:val="24"/>
          <w:szCs w:val="24"/>
        </w:rPr>
        <w:t>Le  intrusioni</w:t>
      </w:r>
      <w:proofErr w:type="gramEnd"/>
      <w:r w:rsidRPr="00341E72">
        <w:rPr>
          <w:color w:val="auto"/>
          <w:sz w:val="24"/>
          <w:szCs w:val="24"/>
        </w:rPr>
        <w:t xml:space="preserve"> sperimentate a seguito della mancata elaborazione di un</w:t>
      </w:r>
      <w:r w:rsidRPr="00341E72">
        <w:rPr>
          <w:b/>
          <w:bCs/>
          <w:color w:val="auto"/>
          <w:sz w:val="24"/>
          <w:szCs w:val="24"/>
        </w:rPr>
        <w:t> lutto</w:t>
      </w:r>
      <w:r w:rsidRPr="00341E72">
        <w:rPr>
          <w:color w:val="auto"/>
          <w:sz w:val="24"/>
          <w:szCs w:val="24"/>
        </w:rPr>
        <w:t> sono prettamente relative ad immagini positive e confortanti della relazione con il defunto.</w:t>
      </w:r>
    </w:p>
    <w:p w14:paraId="18A7B8A1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Si può osservare come una diagnosi differenziale si possa formulare anche rispetto al disturbo dell’adattamento,  </w:t>
      </w:r>
    </w:p>
    <w:p w14:paraId="7562C30A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68E14C9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26435349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Si stima che in seguito alla perdita non violenta di una persona cara, 1 adulto su 10 sia a rischio di sviluppare un disturbo da lutto persistente. Ed il 2-5% lo presenti in modo marcato.</w:t>
      </w:r>
    </w:p>
    <w:p w14:paraId="7FDECD9D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218305C9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A81AC56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b/>
          <w:bCs/>
          <w:color w:val="auto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>Codici comportamento suicidario e autolesionismo non suicidario nel DSM-5-TR</w:t>
      </w:r>
    </w:p>
    <w:p w14:paraId="1BBD418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I codici del comportamento suicidario e dell’autolesionismo non suicidario compaiono nella Sezione II, capitolo ‘Altre condizioni che possono essere al centro dell’attenzione clinica’. Questo capitolo presenta condizioni e problemi che non sono disturbi mentali di per sé, ma per i quali è utile disporre di un modo sistematico di registrazione, per i ricercatori, perché può aiutarli a tenere traccia della prevalenza e delle correlazioni, e per i clinici, perché queste condizioni possono giustificare attenzione continua.</w:t>
      </w:r>
    </w:p>
    <w:p w14:paraId="46887DB0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7D4A9D0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27627E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Il codice dei sintomi del comportamento suicidario può essere utilizzato per le persone che si sono impegnate in comportamenti potenzialmente autolesionistici con almeno una certa intenzione di morire a causa dell’atto. La prova dell’intenzione di porre fine alla loro vita può essere esplicita o dedotta dal comportamento o dalle circostanze. Un tentativo di suicidio può comportare o meno un vero e proprio </w:t>
      </w:r>
      <w:r w:rsidRPr="00341E72">
        <w:rPr>
          <w:color w:val="auto"/>
          <w:sz w:val="24"/>
          <w:szCs w:val="24"/>
          <w:u w:val="single"/>
        </w:rPr>
        <w:t>autolesionismo</w:t>
      </w:r>
      <w:r w:rsidRPr="00341E72">
        <w:rPr>
          <w:color w:val="auto"/>
          <w:sz w:val="24"/>
          <w:szCs w:val="24"/>
        </w:rPr>
        <w:t>.</w:t>
      </w:r>
    </w:p>
    <w:p w14:paraId="79E66C9C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Invece, il codice dei sintomi dell’autolesionismo non suicidario può essere utilizzato per le persone che hanno intenzionalmente inflitto dei danni al proprio corpo e che di conseguenza possono presentare: sanguinamento, lividi o dolore (ad esempio, tagliando, bruciando, pugnalando, percuotendo o eccessivo sfregamento) in assenza di intenti suicidi.</w:t>
      </w:r>
    </w:p>
    <w:p w14:paraId="17E1A1BF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4606E6A4" w14:textId="77777777" w:rsidR="001015BA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>Per quali disturbi sono stati revisionati i criteri nel DSM-5-TR?</w:t>
      </w:r>
      <w:r w:rsidRPr="00341E72">
        <w:rPr>
          <w:b/>
          <w:bCs/>
          <w:color w:val="auto"/>
          <w:sz w:val="24"/>
          <w:szCs w:val="24"/>
        </w:rPr>
        <w:br/>
      </w:r>
    </w:p>
    <w:sectPr w:rsidR="001015BA" w:rsidRPr="00341E7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842992E"/>
    <w:lvl w:ilvl="0">
      <w:numFmt w:val="bullet"/>
      <w:lvlText w:val="*"/>
      <w:lvlJc w:val="left"/>
    </w:lvl>
  </w:abstractNum>
  <w:num w:numId="1" w16cid:durableId="32382464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 w16cid:durableId="80249955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0"/>
        </w:rPr>
      </w:lvl>
    </w:lvlOverride>
  </w:num>
  <w:num w:numId="3" w16cid:durableId="177662810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1E72"/>
    <w:rsid w:val="001015BA"/>
    <w:rsid w:val="0034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A308F"/>
  <w14:defaultImageDpi w14:val="0"/>
  <w15:docId w15:val="{C1EB204E-42F5-4F3E-929D-DC7E9C18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color w:val="000000"/>
      <w:kern w:val="24"/>
      <w:sz w:val="56"/>
      <w:szCs w:val="56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color w:val="000000"/>
      <w:kern w:val="24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color w:val="000000"/>
      <w:kern w:val="24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Pr>
      <w:b/>
      <w:bCs/>
    </w:rPr>
  </w:style>
  <w:style w:type="character" w:customStyle="1" w:styleId="Titolo7Carattere">
    <w:name w:val="Titolo 7 Carattere"/>
    <w:link w:val="Titolo7"/>
    <w:uiPriority w:val="9"/>
    <w:semiHidden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Pr>
      <w:rFonts w:ascii="Calibri Light" w:eastAsia="Times New Roman" w:hAnsi="Calibri Ligh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8680</Characters>
  <Application>Microsoft Office Word</Application>
  <DocSecurity>0</DocSecurity>
  <Lines>72</Lines>
  <Paragraphs>20</Paragraphs>
  <ScaleCrop>false</ScaleCrop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2</cp:revision>
  <dcterms:created xsi:type="dcterms:W3CDTF">2023-09-10T06:28:00Z</dcterms:created>
  <dcterms:modified xsi:type="dcterms:W3CDTF">2023-09-10T06:28:00Z</dcterms:modified>
</cp:coreProperties>
</file>