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3378F" w14:textId="517E9567" w:rsidR="00000000" w:rsidRPr="00341E72" w:rsidRDefault="002A72DC">
      <w:pPr>
        <w:pStyle w:val="Titolo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0C973FA5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bookmarkStart w:id="0" w:name="_Hlk145227226"/>
      <w:r w:rsidRPr="00341E72">
        <w:rPr>
          <w:color w:val="auto"/>
          <w:sz w:val="24"/>
          <w:szCs w:val="24"/>
        </w:rPr>
        <w:t>Ogni nuova edizione (es da DSMIV a DSM5) costituisce una rivoluzione rispetto alla precedente.</w:t>
      </w:r>
    </w:p>
    <w:p w14:paraId="2171567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Le versioni TR sono rivisitazioni e non una rifondazione, si tratta di un passaggio verso il DSM6</w:t>
      </w:r>
    </w:p>
    <w:p w14:paraId="140FC01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B483108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La attenzione particolare in questa revisione è stata dedicata non solo alla malattia mentale, ma anche a tutto ciò che circonda l’aspetto patologico, quindi una maggiore attenzione dedicata all’ambiente, alla epidemiologia, ai cambiamenti culturali.</w:t>
      </w:r>
    </w:p>
    <w:p w14:paraId="4667277C" w14:textId="48E14D9D" w:rsidR="00000000" w:rsidRPr="00341E72" w:rsidRDefault="002A72DC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7E629F34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Si tratta di un testo che sta diventando sempre più clinico con aperture al sociale ed al culturale. Il DSM IV era invece maggiormente indirizzato a favorire la ricerca e la uniformità dei criteri diagnostici</w:t>
      </w:r>
    </w:p>
    <w:p w14:paraId="288281F5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31C0556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Tendenza a diagnosi dimensionale (continuum)</w:t>
      </w:r>
    </w:p>
    <w:p w14:paraId="3A99B34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Piuttosto che categoriale (entità separate)</w:t>
      </w:r>
    </w:p>
    <w:p w14:paraId="35806B1D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6BFFEE2C" w14:textId="624396F0" w:rsidR="00000000" w:rsidRPr="00341E72" w:rsidRDefault="002A72DC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5460F8AE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proofErr w:type="gramStart"/>
      <w:r w:rsidRPr="00341E72">
        <w:rPr>
          <w:color w:val="auto"/>
          <w:sz w:val="24"/>
          <w:szCs w:val="24"/>
        </w:rPr>
        <w:t>Inoltre</w:t>
      </w:r>
      <w:proofErr w:type="gramEnd"/>
      <w:r w:rsidRPr="00341E72">
        <w:rPr>
          <w:color w:val="auto"/>
          <w:sz w:val="24"/>
          <w:szCs w:val="24"/>
        </w:rPr>
        <w:t xml:space="preserve"> presenta un nuovo disturbo, il Disturbo da Lutto Persistente, e anche i codici per il comportamento suicida e autolesionismo non suicidario, utilizzabili dal clinico senza la necessità di porre alcun’altra diagnosi.</w:t>
      </w:r>
    </w:p>
    <w:p w14:paraId="7FF4C0FB" w14:textId="346D30E2" w:rsidR="00000000" w:rsidRPr="00341E72" w:rsidRDefault="002A72DC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6B9C554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Aggiunta del disturbo da Lutto Persistente alla Sezione II.</w:t>
      </w:r>
    </w:p>
    <w:p w14:paraId="4513DCAF" w14:textId="5BF92D09" w:rsidR="00000000" w:rsidRPr="00341E72" w:rsidRDefault="002A72DC">
      <w:pPr>
        <w:pStyle w:val="Titolo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</w:p>
    <w:p w14:paraId="2605F8D2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b/>
          <w:bCs/>
          <w:color w:val="auto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>Disturbo da Lutto Persistente nel DSM-5-TR</w:t>
      </w:r>
    </w:p>
    <w:p w14:paraId="4E27628F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Il disturbo da Lutto Persistente o </w:t>
      </w:r>
      <w:proofErr w:type="spellStart"/>
      <w:r w:rsidRPr="00341E72">
        <w:rPr>
          <w:color w:val="auto"/>
          <w:sz w:val="24"/>
          <w:szCs w:val="24"/>
        </w:rPr>
        <w:t>Prolonged</w:t>
      </w:r>
      <w:proofErr w:type="spellEnd"/>
      <w:r w:rsidRPr="00341E72">
        <w:rPr>
          <w:color w:val="auto"/>
          <w:sz w:val="24"/>
          <w:szCs w:val="24"/>
        </w:rPr>
        <w:t xml:space="preserve"> </w:t>
      </w:r>
      <w:proofErr w:type="spellStart"/>
      <w:r w:rsidRPr="00341E72">
        <w:rPr>
          <w:color w:val="auto"/>
          <w:sz w:val="24"/>
          <w:szCs w:val="24"/>
        </w:rPr>
        <w:t>Grief</w:t>
      </w:r>
      <w:proofErr w:type="spellEnd"/>
      <w:r w:rsidRPr="00341E72">
        <w:rPr>
          <w:color w:val="auto"/>
          <w:sz w:val="24"/>
          <w:szCs w:val="24"/>
        </w:rPr>
        <w:t xml:space="preserve"> Disorder (PGD) è il risultato di anni di ricerca ed esperienza clinica che indicano che alcune persone sperimentano un’incapacità pervasiva a superare il </w:t>
      </w:r>
      <w:r w:rsidRPr="00341E72">
        <w:rPr>
          <w:color w:val="auto"/>
          <w:sz w:val="24"/>
          <w:szCs w:val="24"/>
          <w:u w:val="single"/>
        </w:rPr>
        <w:t>lutto</w:t>
      </w:r>
      <w:r w:rsidRPr="00341E72">
        <w:rPr>
          <w:color w:val="auto"/>
          <w:sz w:val="24"/>
          <w:szCs w:val="24"/>
        </w:rPr>
        <w:t xml:space="preserve"> per la perdita di una persona cara e tali sintomi sono così gravi da influenzare il funzionamento quotidiano dell’individuo. </w:t>
      </w:r>
    </w:p>
    <w:p w14:paraId="57FCF2B9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DF876D4" w14:textId="77777777" w:rsidR="00000000" w:rsidRPr="00341E72" w:rsidRDefault="00000000" w:rsidP="00341E72">
      <w:pPr>
        <w:pStyle w:val="Titolo2"/>
        <w:numPr>
          <w:ilvl w:val="0"/>
          <w:numId w:val="3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Il DSM-5 ha proposto la diagnosi di </w:t>
      </w:r>
      <w:r w:rsidRPr="00341E72">
        <w:rPr>
          <w:b/>
          <w:bCs/>
          <w:color w:val="auto"/>
          <w:sz w:val="24"/>
          <w:szCs w:val="24"/>
        </w:rPr>
        <w:t>disturbo da lutto persistente e complicato</w:t>
      </w:r>
      <w:r w:rsidRPr="00341E72">
        <w:rPr>
          <w:color w:val="auto"/>
          <w:sz w:val="24"/>
          <w:szCs w:val="24"/>
        </w:rPr>
        <w:t xml:space="preserve"> per indicare </w:t>
      </w:r>
      <w:r w:rsidRPr="00341E72">
        <w:rPr>
          <w:color w:val="auto"/>
          <w:sz w:val="24"/>
          <w:szCs w:val="24"/>
        </w:rPr>
        <w:lastRenderedPageBreak/>
        <w:t>proprio quelle condizioni in cui le manifestazioni acute del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, con vissuti a stampo negativo, di tristezza, colpa, invidia, rabbia, associati a persistenti ruminazioni relative alle cause, circostanze e conseguenze della perdita, permangono se sono trascorsi almeno 12 mesi dalla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di qualcuno con cui l’individuo in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 aveva una relazione stretta, considerando questo lasso di tempo come discriminante tra</w:t>
      </w:r>
      <w:r w:rsidRPr="00341E72">
        <w:rPr>
          <w:b/>
          <w:bCs/>
          <w:color w:val="auto"/>
          <w:sz w:val="24"/>
          <w:szCs w:val="24"/>
        </w:rPr>
        <w:t> lutto normale e patologico</w:t>
      </w:r>
      <w:r w:rsidRPr="00341E72">
        <w:rPr>
          <w:color w:val="auto"/>
          <w:sz w:val="24"/>
          <w:szCs w:val="24"/>
        </w:rPr>
        <w:t>.</w:t>
      </w:r>
    </w:p>
    <w:p w14:paraId="5FF371C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19604260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Disturbo da lutto prolungato sintomi</w:t>
      </w:r>
    </w:p>
    <w:p w14:paraId="1CDF0C02" w14:textId="77777777" w:rsidR="00000000" w:rsidRPr="00341E72" w:rsidRDefault="00000000">
      <w:pPr>
        <w:pStyle w:val="Titolo2"/>
        <w:ind w:left="0" w:firstLine="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</w:t>
      </w:r>
      <w:r w:rsidRPr="00341E72">
        <w:rPr>
          <w:color w:val="auto"/>
          <w:sz w:val="24"/>
          <w:szCs w:val="24"/>
        </w:rPr>
        <w:br/>
        <w:t xml:space="preserve">1. Un persistente desiderio/nostalgia della persona deceduta. Nei bambini piccoli il desiderio può essere espresso nel gioco e nel comportamento con un </w:t>
      </w:r>
      <w:proofErr w:type="gramStart"/>
      <w:r w:rsidRPr="00341E72">
        <w:rPr>
          <w:color w:val="auto"/>
          <w:sz w:val="24"/>
          <w:szCs w:val="24"/>
        </w:rPr>
        <w:t>particolare  rapporto</w:t>
      </w:r>
      <w:proofErr w:type="gramEnd"/>
      <w:r w:rsidRPr="00341E72">
        <w:rPr>
          <w:color w:val="auto"/>
          <w:sz w:val="24"/>
          <w:szCs w:val="24"/>
        </w:rPr>
        <w:t xml:space="preserve"> con un’altra figura oggetto di attaccamento.</w:t>
      </w:r>
      <w:r w:rsidRPr="00341E72">
        <w:rPr>
          <w:color w:val="auto"/>
          <w:sz w:val="24"/>
          <w:szCs w:val="24"/>
        </w:rPr>
        <w:br/>
        <w:t>2. Tristezza e dolore emotivo intenso in seguito 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</w:t>
      </w:r>
      <w:r w:rsidRPr="00341E72">
        <w:rPr>
          <w:color w:val="auto"/>
          <w:sz w:val="24"/>
          <w:szCs w:val="24"/>
        </w:rPr>
        <w:br/>
        <w:t>3. Preoccupazione per il deceduto.</w:t>
      </w:r>
      <w:r w:rsidRPr="00341E72">
        <w:rPr>
          <w:color w:val="auto"/>
          <w:sz w:val="24"/>
          <w:szCs w:val="24"/>
        </w:rPr>
        <w:br/>
        <w:t>4. Preoccupazione per le circostanze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Nei bambini, questa preoccupazione per il deceduto può essere espressa attraverso i contenuti del gioco e il comportamento può estendersi fino alla preoccupazione per la possibile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di altre persone vicine.</w:t>
      </w:r>
      <w:r w:rsidRPr="00341E72">
        <w:rPr>
          <w:color w:val="auto"/>
          <w:sz w:val="24"/>
          <w:szCs w:val="24"/>
        </w:rPr>
        <w:br/>
        <w:t xml:space="preserve"> </w:t>
      </w:r>
    </w:p>
    <w:p w14:paraId="33DC65DE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293CD7E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E32B19A" w14:textId="77777777" w:rsidR="00000000" w:rsidRPr="00341E72" w:rsidRDefault="00000000">
      <w:pPr>
        <w:pStyle w:val="Titolo2"/>
        <w:ind w:left="0" w:firstLine="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br/>
        <w:t>1. Marcata difficoltà nell’accettare 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Nei bambini questa difficoltà dipende dalla capacità di comprendere il significato e la definitività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. Molto frequente nei bambini il ricorso alla negazione dell’evento (non è vero che è morto è partito e poi torna). Questa reazione è possibile nei primi giorni anche nell’adulto se prolungata diventa altamente patologica</w:t>
      </w:r>
      <w:r w:rsidRPr="00341E72">
        <w:rPr>
          <w:color w:val="auto"/>
          <w:sz w:val="24"/>
          <w:szCs w:val="24"/>
        </w:rPr>
        <w:br/>
      </w:r>
    </w:p>
    <w:p w14:paraId="19D412C6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77E107C0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2. Provare incredulità o torpore emotivo riguardo alla perdita. In questi casi si può negare il proprio dolore come meccanismo di difesa.</w:t>
      </w:r>
      <w:r w:rsidRPr="00341E72">
        <w:rPr>
          <w:color w:val="auto"/>
          <w:sz w:val="24"/>
          <w:szCs w:val="24"/>
        </w:rPr>
        <w:br/>
        <w:t>3. Difficoltà ad abbandonarsi a ricordi positivi che riguardano il deceduto.</w:t>
      </w:r>
      <w:r w:rsidRPr="00341E72">
        <w:rPr>
          <w:color w:val="auto"/>
          <w:sz w:val="24"/>
          <w:szCs w:val="24"/>
        </w:rPr>
        <w:br/>
        <w:t xml:space="preserve">4. Amarezza o rabbia in relazione alla perdita (poteva invece di lui morire quell’altra persona che è uno </w:t>
      </w:r>
      <w:proofErr w:type="spellStart"/>
      <w:r w:rsidRPr="00341E72">
        <w:rPr>
          <w:color w:val="auto"/>
          <w:sz w:val="24"/>
          <w:szCs w:val="24"/>
        </w:rPr>
        <w:t>str</w:t>
      </w:r>
      <w:proofErr w:type="spellEnd"/>
      <w:r w:rsidRPr="00341E72">
        <w:rPr>
          <w:color w:val="auto"/>
          <w:sz w:val="24"/>
          <w:szCs w:val="24"/>
        </w:rPr>
        <w:t>…).</w:t>
      </w:r>
      <w:r w:rsidRPr="00341E72">
        <w:rPr>
          <w:color w:val="auto"/>
          <w:sz w:val="24"/>
          <w:szCs w:val="24"/>
        </w:rPr>
        <w:br/>
      </w:r>
    </w:p>
    <w:p w14:paraId="0EF33814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23BB1D53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5. Valutazione negativa di sé in relazione al deceduto o alla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 xml:space="preserve"> (es. senso di </w:t>
      </w:r>
      <w:proofErr w:type="spellStart"/>
      <w:r w:rsidRPr="00341E72">
        <w:rPr>
          <w:color w:val="auto"/>
          <w:sz w:val="24"/>
          <w:szCs w:val="24"/>
        </w:rPr>
        <w:t>autocolpevolezza</w:t>
      </w:r>
      <w:proofErr w:type="spellEnd"/>
      <w:r w:rsidRPr="00341E72">
        <w:rPr>
          <w:color w:val="auto"/>
          <w:sz w:val="24"/>
          <w:szCs w:val="24"/>
        </w:rPr>
        <w:t>).</w:t>
      </w:r>
      <w:r w:rsidRPr="00341E72">
        <w:rPr>
          <w:color w:val="auto"/>
          <w:sz w:val="24"/>
          <w:szCs w:val="24"/>
        </w:rPr>
        <w:br/>
        <w:t>6. Eccessivo </w:t>
      </w:r>
      <w:r w:rsidRPr="00341E72">
        <w:rPr>
          <w:color w:val="auto"/>
          <w:sz w:val="24"/>
          <w:szCs w:val="24"/>
          <w:u w:val="single"/>
        </w:rPr>
        <w:t>evitamento</w:t>
      </w:r>
      <w:r w:rsidRPr="00341E72">
        <w:rPr>
          <w:color w:val="auto"/>
          <w:sz w:val="24"/>
          <w:szCs w:val="24"/>
        </w:rPr>
        <w:t> di ricordi della perdita (per es. evitamento di persone, luoghi o situazioni associati al deceduto; nei bambini questo può includere l’evitamento di pensieri e sentimenti che riguardano il deceduto.</w:t>
      </w:r>
    </w:p>
    <w:p w14:paraId="5C60CC9F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0896D6F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DC0939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Disordine sociale e dell’identità</w:t>
      </w:r>
      <w:r w:rsidRPr="00341E72">
        <w:rPr>
          <w:color w:val="auto"/>
          <w:sz w:val="24"/>
          <w:szCs w:val="24"/>
        </w:rPr>
        <w:br/>
        <w:t>Desiderio di morire per essere vicini al deceduto.</w:t>
      </w:r>
      <w:r w:rsidRPr="00341E72">
        <w:rPr>
          <w:color w:val="auto"/>
          <w:sz w:val="24"/>
          <w:szCs w:val="24"/>
        </w:rPr>
        <w:br/>
        <w:t>Dal momento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, difficoltà nel provare fiducia verso gli altri.</w:t>
      </w:r>
      <w:r w:rsidRPr="00341E72">
        <w:rPr>
          <w:color w:val="auto"/>
          <w:sz w:val="24"/>
          <w:szCs w:val="24"/>
        </w:rPr>
        <w:br/>
        <w:t>Dal momento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, sensazione di essere soli o distaccati dagli altri.</w:t>
      </w:r>
      <w:r w:rsidRPr="00341E72">
        <w:rPr>
          <w:color w:val="auto"/>
          <w:sz w:val="24"/>
          <w:szCs w:val="24"/>
        </w:rPr>
        <w:br/>
      </w:r>
    </w:p>
    <w:p w14:paraId="7FEB295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7B9D3FB2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5AA19B41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Sensazione che la vita sia vuota o priva di senso senza il deceduto, o pensiero di non farcela senza il deceduto.</w:t>
      </w:r>
      <w:r w:rsidRPr="00341E72">
        <w:rPr>
          <w:color w:val="auto"/>
          <w:sz w:val="24"/>
          <w:szCs w:val="24"/>
        </w:rPr>
        <w:br/>
        <w:t xml:space="preserve">Confusione circa il proprio ruolo nella vita, o diminuito senso della propria identità (per es. una parte di </w:t>
      </w:r>
      <w:proofErr w:type="gramStart"/>
      <w:r w:rsidRPr="00341E72">
        <w:rPr>
          <w:color w:val="auto"/>
          <w:sz w:val="24"/>
          <w:szCs w:val="24"/>
        </w:rPr>
        <w:t>se</w:t>
      </w:r>
      <w:proofErr w:type="gramEnd"/>
      <w:r w:rsidRPr="00341E72">
        <w:rPr>
          <w:color w:val="auto"/>
          <w:sz w:val="24"/>
          <w:szCs w:val="24"/>
        </w:rPr>
        <w:t xml:space="preserve"> stessi è diminuita insieme al deceduto).</w:t>
      </w:r>
      <w:r w:rsidRPr="00341E72">
        <w:rPr>
          <w:color w:val="auto"/>
          <w:sz w:val="24"/>
          <w:szCs w:val="24"/>
        </w:rPr>
        <w:br/>
        <w:t>Dal momento della perdita, difficoltà o riluttanza nel perseguire i propri interessi o nel fare piani per il futuro (per es. amicizie, attività).</w:t>
      </w:r>
    </w:p>
    <w:p w14:paraId="04CDF5BE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6C59276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D. Il disturbo causa disagio clinicamente significativo o compromissione del funzionamento in ambito sociale, lavorativo o in altre aree importanti</w:t>
      </w:r>
      <w:r w:rsidRPr="00341E72">
        <w:rPr>
          <w:color w:val="auto"/>
          <w:sz w:val="24"/>
          <w:szCs w:val="24"/>
        </w:rPr>
        <w:br/>
        <w:t>E. La reazione di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 è sproporzionata o non coerente con le norme culturali o religiose o appropriate per l’età.</w:t>
      </w:r>
    </w:p>
    <w:p w14:paraId="334A83A6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4CA9454E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14D49E8D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Specificare se</w:t>
      </w:r>
      <w:r w:rsidRPr="00341E72">
        <w:rPr>
          <w:b/>
          <w:bCs/>
          <w:color w:val="auto"/>
          <w:sz w:val="24"/>
          <w:szCs w:val="24"/>
        </w:rPr>
        <w:t> lutto traumatico</w:t>
      </w:r>
      <w:r w:rsidRPr="00341E72">
        <w:rPr>
          <w:color w:val="auto"/>
          <w:sz w:val="24"/>
          <w:szCs w:val="24"/>
        </w:rPr>
        <w:t>, ovvero: </w:t>
      </w:r>
      <w:r w:rsidRPr="00341E72">
        <w:rPr>
          <w:b/>
          <w:bCs/>
          <w:color w:val="auto"/>
          <w:sz w:val="24"/>
          <w:szCs w:val="24"/>
        </w:rPr>
        <w:t>lutto</w:t>
      </w:r>
      <w:r w:rsidRPr="00341E72">
        <w:rPr>
          <w:color w:val="auto"/>
          <w:sz w:val="24"/>
          <w:szCs w:val="24"/>
        </w:rPr>
        <w:t> dovuto a omicidio o suicidio con persistenti pensieri gravosi riguardo alla natura traumatica della </w:t>
      </w:r>
      <w:r w:rsidRPr="00341E72">
        <w:rPr>
          <w:b/>
          <w:bCs/>
          <w:color w:val="auto"/>
          <w:sz w:val="24"/>
          <w:szCs w:val="24"/>
        </w:rPr>
        <w:t>morte</w:t>
      </w:r>
      <w:r w:rsidRPr="00341E72">
        <w:rPr>
          <w:color w:val="auto"/>
          <w:sz w:val="24"/>
          <w:szCs w:val="24"/>
        </w:rPr>
        <w:t> (spesso in risposta a ricordi della perdita), tra cui gli ultimi momenti del deceduto, il grado di sofferenza e delle ferite, o la natura dolorosa o intenzionale della</w:t>
      </w:r>
      <w:r w:rsidRPr="00341E72">
        <w:rPr>
          <w:b/>
          <w:bCs/>
          <w:color w:val="auto"/>
          <w:sz w:val="24"/>
          <w:szCs w:val="24"/>
        </w:rPr>
        <w:t> morte</w:t>
      </w:r>
      <w:r w:rsidRPr="00341E72">
        <w:rPr>
          <w:color w:val="auto"/>
          <w:sz w:val="24"/>
          <w:szCs w:val="24"/>
        </w:rPr>
        <w:t>.</w:t>
      </w:r>
    </w:p>
    <w:p w14:paraId="3BD33933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31463949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Diagnosi differenziale: depressione</w:t>
      </w:r>
    </w:p>
    <w:p w14:paraId="6E10849A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b/>
          <w:bCs/>
          <w:color w:val="auto"/>
          <w:sz w:val="24"/>
          <w:szCs w:val="24"/>
        </w:rPr>
        <w:t xml:space="preserve"> </w:t>
      </w:r>
      <w:r w:rsidRPr="00341E72">
        <w:rPr>
          <w:color w:val="auto"/>
          <w:sz w:val="24"/>
          <w:szCs w:val="24"/>
        </w:rPr>
        <w:t>Il </w:t>
      </w:r>
      <w:r w:rsidRPr="00341E72">
        <w:rPr>
          <w:b/>
          <w:bCs/>
          <w:color w:val="auto"/>
          <w:sz w:val="24"/>
          <w:szCs w:val="24"/>
        </w:rPr>
        <w:t>disturbo da lutto persistente e complicato</w:t>
      </w:r>
      <w:r w:rsidRPr="00341E72">
        <w:rPr>
          <w:color w:val="auto"/>
          <w:sz w:val="24"/>
          <w:szCs w:val="24"/>
        </w:rPr>
        <w:t xml:space="preserve"> </w:t>
      </w:r>
    </w:p>
    <w:p w14:paraId="0ABBF50B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>Nonostante la tristezza e i sentimenti di colpa siano caratteristiche centrali della depressione maggiore, nel</w:t>
      </w:r>
      <w:r w:rsidRPr="00341E72">
        <w:rPr>
          <w:b/>
          <w:bCs/>
          <w:color w:val="auto"/>
          <w:sz w:val="24"/>
          <w:szCs w:val="24"/>
        </w:rPr>
        <w:t xml:space="preserve"> lutto </w:t>
      </w:r>
      <w:proofErr w:type="gramStart"/>
      <w:r w:rsidRPr="00341E72">
        <w:rPr>
          <w:b/>
          <w:bCs/>
          <w:color w:val="auto"/>
          <w:sz w:val="24"/>
          <w:szCs w:val="24"/>
        </w:rPr>
        <w:t>complicato</w:t>
      </w:r>
      <w:r w:rsidRPr="00341E72">
        <w:rPr>
          <w:color w:val="auto"/>
          <w:sz w:val="24"/>
          <w:szCs w:val="24"/>
        </w:rPr>
        <w:t xml:space="preserve">,   </w:t>
      </w:r>
      <w:proofErr w:type="gramEnd"/>
      <w:r w:rsidRPr="00341E72">
        <w:rPr>
          <w:color w:val="auto"/>
          <w:sz w:val="24"/>
          <w:szCs w:val="24"/>
        </w:rPr>
        <w:t>vengano esperiti solo in relazione alla figura del defunto; la ruminazione sugli errori e sui fallimenti del passato, anch’essa presente in entrambi i casi, è centrata nel disturbo da</w:t>
      </w:r>
      <w:r w:rsidRPr="00341E72">
        <w:rPr>
          <w:b/>
          <w:bCs/>
          <w:color w:val="auto"/>
          <w:sz w:val="24"/>
          <w:szCs w:val="24"/>
        </w:rPr>
        <w:t> lutto prolungato</w:t>
      </w:r>
      <w:r w:rsidRPr="00341E72">
        <w:rPr>
          <w:color w:val="auto"/>
          <w:sz w:val="24"/>
          <w:szCs w:val="24"/>
        </w:rPr>
        <w:t> solo sulla persona deceduta anziché essere generalizzata.</w:t>
      </w:r>
    </w:p>
    <w:p w14:paraId="67B46C74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0FB18698" w14:textId="77777777" w:rsidR="00000000" w:rsidRPr="00341E72" w:rsidRDefault="00000000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t>PTSD</w:t>
      </w:r>
    </w:p>
    <w:p w14:paraId="288530A3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 nel PTSD si tratta di paura e ansia, nel</w:t>
      </w:r>
      <w:r w:rsidRPr="00341E72">
        <w:rPr>
          <w:b/>
          <w:bCs/>
          <w:color w:val="auto"/>
          <w:sz w:val="24"/>
          <w:szCs w:val="24"/>
        </w:rPr>
        <w:t> lutto</w:t>
      </w:r>
      <w:r w:rsidRPr="00341E72">
        <w:rPr>
          <w:color w:val="auto"/>
          <w:sz w:val="24"/>
          <w:szCs w:val="24"/>
        </w:rPr>
        <w:t xml:space="preserve"> di tristezza e nostalgia. </w:t>
      </w:r>
      <w:proofErr w:type="gramStart"/>
      <w:r w:rsidRPr="00341E72">
        <w:rPr>
          <w:color w:val="auto"/>
          <w:sz w:val="24"/>
          <w:szCs w:val="24"/>
        </w:rPr>
        <w:t>Le  intrusioni</w:t>
      </w:r>
      <w:proofErr w:type="gramEnd"/>
      <w:r w:rsidRPr="00341E72">
        <w:rPr>
          <w:color w:val="auto"/>
          <w:sz w:val="24"/>
          <w:szCs w:val="24"/>
        </w:rPr>
        <w:t xml:space="preserve"> sperimentate a seguito della mancata elaborazione di un</w:t>
      </w:r>
      <w:r w:rsidRPr="00341E72">
        <w:rPr>
          <w:b/>
          <w:bCs/>
          <w:color w:val="auto"/>
          <w:sz w:val="24"/>
          <w:szCs w:val="24"/>
        </w:rPr>
        <w:t> lutto</w:t>
      </w:r>
      <w:r w:rsidRPr="00341E72">
        <w:rPr>
          <w:color w:val="auto"/>
          <w:sz w:val="24"/>
          <w:szCs w:val="24"/>
        </w:rPr>
        <w:t> sono prettamente relative ad immagini positive e confortanti della relazione con il defunto.</w:t>
      </w:r>
    </w:p>
    <w:p w14:paraId="18A7B8A1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kern w:val="2"/>
          <w:sz w:val="24"/>
          <w:szCs w:val="24"/>
        </w:rPr>
      </w:pPr>
      <w:r w:rsidRPr="00341E72">
        <w:rPr>
          <w:color w:val="auto"/>
          <w:sz w:val="24"/>
          <w:szCs w:val="24"/>
        </w:rPr>
        <w:t xml:space="preserve">Si può osservare come una diagnosi differenziale si possa formulare anche rispetto al disturbo dell’adattamento,  </w:t>
      </w:r>
    </w:p>
    <w:p w14:paraId="7562C30A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68E14C91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26435349" w14:textId="77777777" w:rsidR="00000000" w:rsidRPr="00341E72" w:rsidRDefault="00000000" w:rsidP="00341E72">
      <w:pPr>
        <w:pStyle w:val="Titolo2"/>
        <w:numPr>
          <w:ilvl w:val="0"/>
          <w:numId w:val="1"/>
        </w:numPr>
        <w:ind w:left="540" w:hanging="540"/>
        <w:rPr>
          <w:color w:val="auto"/>
          <w:sz w:val="24"/>
          <w:szCs w:val="24"/>
        </w:rPr>
      </w:pPr>
      <w:r w:rsidRPr="00341E72">
        <w:rPr>
          <w:color w:val="auto"/>
          <w:sz w:val="24"/>
          <w:szCs w:val="24"/>
        </w:rPr>
        <w:lastRenderedPageBreak/>
        <w:t>Si stima che in seguito alla perdita non violenta di una persona cara, 1 adulto su 10 sia a rischio di sviluppare un disturbo da lutto persistente. Ed il 2-5% lo presenti in modo marcato.</w:t>
      </w:r>
    </w:p>
    <w:p w14:paraId="7FDECD9D" w14:textId="77777777" w:rsidR="00000000" w:rsidRPr="00341E72" w:rsidRDefault="00000000">
      <w:pPr>
        <w:pStyle w:val="Titolo2"/>
        <w:ind w:left="540" w:hanging="540"/>
        <w:rPr>
          <w:color w:val="auto"/>
          <w:sz w:val="24"/>
          <w:szCs w:val="24"/>
        </w:rPr>
      </w:pPr>
    </w:p>
    <w:p w14:paraId="218305C9" w14:textId="77777777" w:rsidR="00000000" w:rsidRPr="00341E72" w:rsidRDefault="00000000">
      <w:pPr>
        <w:pStyle w:val="Titolo1"/>
        <w:rPr>
          <w:color w:val="auto"/>
          <w:sz w:val="24"/>
          <w:szCs w:val="24"/>
        </w:rPr>
      </w:pPr>
    </w:p>
    <w:p w14:paraId="4606E6A4" w14:textId="4B74F6A9" w:rsidR="009C7488" w:rsidRPr="00341E72" w:rsidRDefault="002A72DC">
      <w:pPr>
        <w:pStyle w:val="Titolo1"/>
        <w:ind w:left="0" w:firstLine="0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</w:t>
      </w:r>
      <w:bookmarkEnd w:id="0"/>
    </w:p>
    <w:sectPr w:rsidR="009C7488" w:rsidRPr="00341E7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842992E"/>
    <w:lvl w:ilvl="0">
      <w:numFmt w:val="bullet"/>
      <w:lvlText w:val="*"/>
      <w:lvlJc w:val="left"/>
    </w:lvl>
  </w:abstractNum>
  <w:num w:numId="1" w16cid:durableId="32382464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 w16cid:durableId="80249955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0"/>
        </w:rPr>
      </w:lvl>
    </w:lvlOverride>
  </w:num>
  <w:num w:numId="3" w16cid:durableId="177662810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4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1E72"/>
    <w:rsid w:val="000968D8"/>
    <w:rsid w:val="002A72DC"/>
    <w:rsid w:val="00341E72"/>
    <w:rsid w:val="009C7488"/>
    <w:rsid w:val="00C0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A308F"/>
  <w14:defaultImageDpi w14:val="0"/>
  <w15:docId w15:val="{C1EB204E-42F5-4F3E-929D-DC7E9C18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kern w:val="2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color w:val="000000"/>
      <w:kern w:val="24"/>
      <w:sz w:val="56"/>
      <w:szCs w:val="56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color w:val="000000"/>
      <w:kern w:val="24"/>
      <w:sz w:val="48"/>
      <w:szCs w:val="4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color w:val="000000"/>
      <w:kern w:val="24"/>
      <w:sz w:val="40"/>
      <w:szCs w:val="40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color w:val="000000"/>
      <w:kern w:val="24"/>
      <w:sz w:val="40"/>
      <w:szCs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"/>
    <w:semiHidden/>
    <w:rPr>
      <w:b/>
      <w:bCs/>
    </w:rPr>
  </w:style>
  <w:style w:type="character" w:customStyle="1" w:styleId="Titolo7Carattere">
    <w:name w:val="Titolo 7 Carattere"/>
    <w:link w:val="Titolo7"/>
    <w:uiPriority w:val="9"/>
    <w:semiHidden/>
    <w:rPr>
      <w:sz w:val="24"/>
      <w:szCs w:val="24"/>
    </w:rPr>
  </w:style>
  <w:style w:type="character" w:customStyle="1" w:styleId="Titolo8Carattere">
    <w:name w:val="Titolo 8 Carattere"/>
    <w:link w:val="Titolo8"/>
    <w:uiPriority w:val="9"/>
    <w:semiHidden/>
    <w:rPr>
      <w:i/>
      <w:iCs/>
      <w:sz w:val="24"/>
      <w:szCs w:val="24"/>
    </w:rPr>
  </w:style>
  <w:style w:type="character" w:customStyle="1" w:styleId="Titolo9Carattere">
    <w:name w:val="Titolo 9 Carattere"/>
    <w:link w:val="Titolo9"/>
    <w:uiPriority w:val="9"/>
    <w:semiHidden/>
    <w:rPr>
      <w:rFonts w:ascii="Calibri Light" w:eastAsia="Times New Roman" w:hAnsi="Calibri Light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4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3</cp:revision>
  <dcterms:created xsi:type="dcterms:W3CDTF">2023-09-10T06:29:00Z</dcterms:created>
  <dcterms:modified xsi:type="dcterms:W3CDTF">2023-09-11T08:30:00Z</dcterms:modified>
</cp:coreProperties>
</file>